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BAA99" w14:textId="7C137E31" w:rsidR="001F5FC8" w:rsidRPr="001C067C" w:rsidRDefault="001C067C" w:rsidP="001C067C">
      <w:pPr>
        <w:tabs>
          <w:tab w:val="num" w:pos="720"/>
        </w:tabs>
        <w:spacing w:after="0" w:line="360" w:lineRule="auto"/>
        <w:ind w:left="720" w:hanging="360"/>
        <w:jc w:val="center"/>
        <w:rPr>
          <w:rFonts w:ascii="Times New Roman" w:hAnsi="Times New Roman" w:cs="Times New Roman"/>
          <w:b/>
          <w:bCs/>
          <w:color w:val="0070C0"/>
        </w:rPr>
      </w:pPr>
      <w:r>
        <w:rPr>
          <w:rFonts w:ascii="Times New Roman" w:hAnsi="Times New Roman" w:cs="Times New Roman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D1DB5" wp14:editId="36248EC6">
                <wp:simplePos x="0" y="0"/>
                <wp:positionH relativeFrom="column">
                  <wp:posOffset>-975360</wp:posOffset>
                </wp:positionH>
                <wp:positionV relativeFrom="paragraph">
                  <wp:posOffset>-804545</wp:posOffset>
                </wp:positionV>
                <wp:extent cx="7353300" cy="10191750"/>
                <wp:effectExtent l="0" t="0" r="19050" b="19050"/>
                <wp:wrapNone/>
                <wp:docPr id="2650992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1019175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1B2A1" id="Retângulo 1" o:spid="_x0000_s1026" style="position:absolute;margin-left:-76.8pt;margin-top:-63.35pt;width:579pt;height:80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" filled="f" strokecolor="#156082 [3204]" strokeweight="1pt">
                <v:stroke dashstyle="dash"/>
              </v:rect>
            </w:pict>
          </mc:Fallback>
        </mc:AlternateContent>
      </w:r>
      <w:r w:rsidRPr="001C067C">
        <w:rPr>
          <w:rFonts w:ascii="Times New Roman" w:hAnsi="Times New Roman" w:cs="Times New Roman"/>
          <w:b/>
          <w:bCs/>
          <w:color w:val="0070C0"/>
        </w:rPr>
        <w:t>DICAS DE FORMATAÇÃO PARA RELATÓRIO A3</w:t>
      </w:r>
    </w:p>
    <w:p w14:paraId="0578BCBD" w14:textId="77777777" w:rsidR="001C067C" w:rsidRPr="00B9566C" w:rsidRDefault="001C067C" w:rsidP="001C067C">
      <w:pPr>
        <w:tabs>
          <w:tab w:val="num" w:pos="720"/>
        </w:tabs>
        <w:spacing w:after="0" w:line="360" w:lineRule="auto"/>
        <w:ind w:left="720" w:hanging="360"/>
        <w:jc w:val="center"/>
        <w:rPr>
          <w:rFonts w:ascii="Times New Roman" w:hAnsi="Times New Roman" w:cs="Times New Roman"/>
        </w:rPr>
      </w:pPr>
    </w:p>
    <w:p w14:paraId="2FCB455D" w14:textId="77777777" w:rsidR="001F5FC8" w:rsidRPr="001F5FC8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>Evite excesso de texto. Uma imagem vale por mil palavras. Apresente dados em forma de gráfico, que é algo fácil e rápido de compreender.</w:t>
      </w:r>
    </w:p>
    <w:p w14:paraId="2430D216" w14:textId="77777777" w:rsidR="001F5FC8" w:rsidRPr="001F5FC8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>Use um formato coerente para informações semelhantes. Preste muita atenção à escala dos gráficos. Dados semelhantes comparados em escalas diferentes podem ser visualmente enganosos e um tanto confusos.</w:t>
      </w:r>
    </w:p>
    <w:p w14:paraId="7FF85A5C" w14:textId="09C00929" w:rsidR="001F5FC8" w:rsidRPr="001F5FC8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>Use gráficos de linha na seção de descrição do problema</w:t>
      </w:r>
      <w:r w:rsidR="001C067C">
        <w:rPr>
          <w:rFonts w:ascii="Times New Roman" w:hAnsi="Times New Roman" w:cs="Times New Roman"/>
        </w:rPr>
        <w:t>,</w:t>
      </w:r>
      <w:r w:rsidRPr="001F5FC8">
        <w:rPr>
          <w:rFonts w:ascii="Times New Roman" w:hAnsi="Times New Roman" w:cs="Times New Roman"/>
        </w:rPr>
        <w:t xml:space="preserve"> pois eles mostram a tendência da questão. Não utilize gráficos de Pareto ou gráficos de pizza. Estes são ferramentas de análise, não de descrição de problema.</w:t>
      </w:r>
    </w:p>
    <w:p w14:paraId="75AF851A" w14:textId="6CB105B4" w:rsidR="001F5FC8" w:rsidRPr="00B9566C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 xml:space="preserve">Se tiver que usar palavras, utilize afirmações separadas em itens em vez de frases, restringindo-se a três ou quatro itens por </w:t>
      </w:r>
      <w:r w:rsidR="001C067C">
        <w:rPr>
          <w:rFonts w:ascii="Times New Roman" w:hAnsi="Times New Roman" w:cs="Times New Roman"/>
        </w:rPr>
        <w:t>tópico</w:t>
      </w:r>
      <w:r w:rsidRPr="001F5FC8">
        <w:rPr>
          <w:rFonts w:ascii="Times New Roman" w:hAnsi="Times New Roman" w:cs="Times New Roman"/>
        </w:rPr>
        <w:t xml:space="preserve"> para sintetizar os pontos principais. </w:t>
      </w:r>
    </w:p>
    <w:p w14:paraId="500969F2" w14:textId="77777777" w:rsidR="001F5FC8" w:rsidRPr="001F5FC8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>Certifique-se de que todos os quadros, gráficos ou textos tenham tamanho adequado para serem lidos com facilidade.</w:t>
      </w:r>
    </w:p>
    <w:p w14:paraId="14323AE3" w14:textId="77777777" w:rsidR="001F5FC8" w:rsidRPr="001F5FC8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>Ao utilizar uma ferramenta de comparação, como gráfico de pizza ou Pareto, evite comparar muitas questões, já que isso tornará os dados muito pequenos e difíceis de ler. Além disso, existem “ferramentas de separação” que permitem isolar os “poucos significativos dos muitos triviais”. Qualquer coisa que passe dos cinco principais não é um dos poucos significativos e não merece atenção.</w:t>
      </w:r>
    </w:p>
    <w:p w14:paraId="6E7CD026" w14:textId="77777777" w:rsidR="001F5FC8" w:rsidRPr="001F5FC8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 xml:space="preserve">Evite usar quadros e gráficos coloridos. Quando fotocopiados, a cor não aparece, e, se você usar cores para identificar elementos, a clareza será perdida. Sim, sabemos que você pode usar uma copiadora em cores, mas é muito cara, e nem todos terão uma à disposição quando você quiser uma cópia! </w:t>
      </w:r>
    </w:p>
    <w:p w14:paraId="454A45FA" w14:textId="77777777" w:rsidR="001F5FC8" w:rsidRPr="001F5FC8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>Isso traz um ponto relacionado: não faça com que uma má atividade de solução de problema pareça boa utilizando material colorido e sofisticado. Se o seu A3 for só fachada e não tiver substância, isso ficará óbvio. Como disse Einstein: “se você quiser descrever a verdade, deixe a elegância para o alfaiate”.</w:t>
      </w:r>
    </w:p>
    <w:p w14:paraId="79A203F7" w14:textId="77777777" w:rsidR="001F5FC8" w:rsidRPr="001F5FC8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 xml:space="preserve">Devemos mencionar o uso do Microsoft Excel para elaboração de quadros e gráficos. É uma ferramenta útil, mas, como qualquer ferramenta, só pode ser tão boa quanto seu usuário. O principal problema é que as definições </w:t>
      </w:r>
      <w:r w:rsidRPr="001F5FC8">
        <w:rPr>
          <w:rFonts w:ascii="Times New Roman" w:hAnsi="Times New Roman" w:cs="Times New Roman"/>
          <w:i/>
          <w:iCs/>
        </w:rPr>
        <w:t>default</w:t>
      </w:r>
      <w:r w:rsidRPr="001F5FC8">
        <w:rPr>
          <w:rFonts w:ascii="Times New Roman" w:hAnsi="Times New Roman" w:cs="Times New Roman"/>
        </w:rPr>
        <w:t xml:space="preserve"> nem sempre oferecem os melhores resultados. As definições de escala, marcadores e linhas são ajustáveis, e você deve dedicar atenção especial ao tamanho e ao estilo da fonte. O tamanho pode automaticamente ajustar-se e ficar em desequilíbrio com outros gráficos semelhantes. Não deixe de fazer as modificações para fins de clareza e facilidade de compreensão.</w:t>
      </w:r>
    </w:p>
    <w:p w14:paraId="6F08B561" w14:textId="77777777" w:rsidR="001F5FC8" w:rsidRPr="001F5FC8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>Utilize setas para mostrar o fluxo de informações, de forma que o leitor saiba qual é a relação de cada parte da história.</w:t>
      </w:r>
    </w:p>
    <w:p w14:paraId="3C234F3D" w14:textId="1C2380D7" w:rsidR="001F5FC8" w:rsidRPr="001F5FC8" w:rsidRDefault="001C067C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D1D6E" wp14:editId="594E3E13">
                <wp:simplePos x="0" y="0"/>
                <wp:positionH relativeFrom="page">
                  <wp:posOffset>104775</wp:posOffset>
                </wp:positionH>
                <wp:positionV relativeFrom="paragraph">
                  <wp:posOffset>-795020</wp:posOffset>
                </wp:positionV>
                <wp:extent cx="7353300" cy="10182225"/>
                <wp:effectExtent l="0" t="0" r="19050" b="28575"/>
                <wp:wrapNone/>
                <wp:docPr id="118065601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1018222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B52FA" id="Retângulo 1" o:spid="_x0000_s1026" style="position:absolute;margin-left:8.25pt;margin-top:-62.6pt;width:579pt;height:80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" filled="f" strokecolor="#156082 [3204]" strokeweight="1pt">
                <v:stroke dashstyle="dash"/>
                <w10:wrap anchorx="page"/>
              </v:rect>
            </w:pict>
          </mc:Fallback>
        </mc:AlternateContent>
      </w:r>
      <w:r w:rsidR="001F5FC8" w:rsidRPr="001F5FC8">
        <w:rPr>
          <w:rFonts w:ascii="Times New Roman" w:hAnsi="Times New Roman" w:cs="Times New Roman"/>
        </w:rPr>
        <w:t>Evite acrônimos e terminologia técnica. Lembre-se de que seu público pode incluir pessoas que não conhecem o jargão.</w:t>
      </w:r>
    </w:p>
    <w:p w14:paraId="234E5559" w14:textId="19D5879A" w:rsidR="00B9566C" w:rsidRDefault="001F5FC8" w:rsidP="00B956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</w:rPr>
        <w:t xml:space="preserve">Use seu senso de equilíbrio visual. Certifique-se de que a história está espacialmente </w:t>
      </w:r>
      <w:r w:rsidR="00032204" w:rsidRPr="001F5FC8">
        <w:rPr>
          <w:rFonts w:ascii="Times New Roman" w:hAnsi="Times New Roman" w:cs="Times New Roman"/>
        </w:rPr>
        <w:t>bem</w:t>
      </w:r>
      <w:r w:rsidR="00032204">
        <w:rPr>
          <w:rFonts w:ascii="Times New Roman" w:hAnsi="Times New Roman" w:cs="Times New Roman"/>
        </w:rPr>
        <w:t>-organizada</w:t>
      </w:r>
      <w:r w:rsidRPr="001F5FC8">
        <w:rPr>
          <w:rFonts w:ascii="Times New Roman" w:hAnsi="Times New Roman" w:cs="Times New Roman"/>
        </w:rPr>
        <w:t xml:space="preserve"> e de que os elementos estão alinhados. Informações semelhantes, como gráficos, em tamanhos diferentes dispersam a atenção.</w:t>
      </w:r>
    </w:p>
    <w:p w14:paraId="0F0006D9" w14:textId="214D7BEA" w:rsidR="00B9566C" w:rsidRDefault="00B9566C" w:rsidP="00B9566C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14:paraId="16FF97C6" w14:textId="4A9D48D6" w:rsidR="001F5FC8" w:rsidRPr="00B9566C" w:rsidRDefault="001F5FC8" w:rsidP="00B9566C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B9566C">
        <w:rPr>
          <w:rFonts w:ascii="Times New Roman" w:hAnsi="Times New Roman" w:cs="Times New Roman"/>
          <w:b/>
          <w:bCs/>
        </w:rPr>
        <w:t>Referência:</w:t>
      </w:r>
    </w:p>
    <w:p w14:paraId="160CD84C" w14:textId="77777777" w:rsidR="001F5FC8" w:rsidRPr="001F5FC8" w:rsidRDefault="001F5FC8" w:rsidP="00B9566C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F5FC8">
        <w:rPr>
          <w:rFonts w:ascii="Times New Roman" w:hAnsi="Times New Roman" w:cs="Times New Roman"/>
          <w:lang w:val="en-US"/>
        </w:rPr>
        <w:t xml:space="preserve">LIKER, Jeffrey K.; MEIER, David. </w:t>
      </w:r>
      <w:r w:rsidRPr="001F5FC8">
        <w:rPr>
          <w:rFonts w:ascii="Times New Roman" w:hAnsi="Times New Roman" w:cs="Times New Roman"/>
          <w:b/>
          <w:bCs/>
        </w:rPr>
        <w:t>O modelo Toyota</w:t>
      </w:r>
      <w:r w:rsidRPr="001F5FC8">
        <w:rPr>
          <w:rFonts w:ascii="Times New Roman" w:hAnsi="Times New Roman" w:cs="Times New Roman"/>
        </w:rPr>
        <w:t>: manual de aplicação. Porto Alegre: Bookman, 2007.</w:t>
      </w:r>
    </w:p>
    <w:p w14:paraId="66594174" w14:textId="77777777" w:rsidR="001F5FC8" w:rsidRPr="001F5FC8" w:rsidRDefault="001F5FC8" w:rsidP="001F5FC8">
      <w:pPr>
        <w:ind w:left="720"/>
      </w:pPr>
    </w:p>
    <w:p w14:paraId="54E63EE8" w14:textId="58E31EDA" w:rsidR="008A46FD" w:rsidRDefault="008A46FD"/>
    <w:sectPr w:rsidR="008A46F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DD19C" w14:textId="77777777" w:rsidR="006136F3" w:rsidRDefault="006136F3" w:rsidP="001C067C">
      <w:pPr>
        <w:spacing w:after="0" w:line="240" w:lineRule="auto"/>
      </w:pPr>
      <w:r>
        <w:separator/>
      </w:r>
    </w:p>
  </w:endnote>
  <w:endnote w:type="continuationSeparator" w:id="0">
    <w:p w14:paraId="171D5E1E" w14:textId="77777777" w:rsidR="006136F3" w:rsidRDefault="006136F3" w:rsidP="001C0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D84F2" w14:textId="43DD4FEE" w:rsidR="001C067C" w:rsidRPr="001C067C" w:rsidRDefault="001C067C" w:rsidP="001C067C">
    <w:pPr>
      <w:pStyle w:val="Rodap"/>
      <w:jc w:val="center"/>
      <w:rPr>
        <w:sz w:val="18"/>
        <w:szCs w:val="18"/>
      </w:rPr>
    </w:pPr>
    <w:r w:rsidRPr="001C067C">
      <w:rPr>
        <w:rFonts w:ascii="Garamond" w:hAnsi="Garamond"/>
        <w:noProof/>
        <w:color w:val="0070C0"/>
        <w:sz w:val="18"/>
        <w:szCs w:val="18"/>
      </w:rPr>
      <w:drawing>
        <wp:inline distT="0" distB="0" distL="0" distR="0" wp14:anchorId="1C627E0A" wp14:editId="098A1895">
          <wp:extent cx="440608" cy="342900"/>
          <wp:effectExtent l="0" t="0" r="0" b="0"/>
          <wp:docPr id="493599665" name="Imagem 15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098798" name="Imagem 15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964" cy="352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C067C">
      <w:rPr>
        <w:rFonts w:ascii="Garamond" w:hAnsi="Garamond"/>
        <w:color w:val="0070C0"/>
        <w:sz w:val="18"/>
        <w:szCs w:val="18"/>
      </w:rPr>
      <w:t xml:space="preserve">Curso de Engenharia de Produção </w:t>
    </w:r>
    <w:r w:rsidRPr="001C067C">
      <w:rPr>
        <w:rFonts w:ascii="Garamond" w:hAnsi="Garamond"/>
        <w:color w:val="7F7F7F" w:themeColor="text1" w:themeTint="80"/>
        <w:sz w:val="18"/>
        <w:szCs w:val="18"/>
      </w:rPr>
      <w:t xml:space="preserve">|| </w:t>
    </w:r>
    <w:r w:rsidRPr="001C067C">
      <w:rPr>
        <w:rFonts w:ascii="Garamond" w:hAnsi="Garamond"/>
        <w:color w:val="0070C0"/>
        <w:sz w:val="18"/>
        <w:szCs w:val="18"/>
      </w:rPr>
      <w:tab/>
    </w:r>
    <w:r w:rsidRPr="001C067C">
      <w:rPr>
        <w:rFonts w:ascii="Garamond" w:hAnsi="Garamond"/>
        <w:color w:val="7F7F7F" w:themeColor="text1" w:themeTint="80"/>
        <w:sz w:val="18"/>
        <w:szCs w:val="18"/>
      </w:rPr>
      <w:t>Departamento de Engenharias</w:t>
    </w:r>
    <w:r w:rsidRPr="001C067C">
      <w:rPr>
        <w:rFonts w:ascii="Garamond" w:hAnsi="Garamond"/>
        <w:color w:val="7F7F7F" w:themeColor="text1" w:themeTint="80"/>
        <w:sz w:val="18"/>
        <w:szCs w:val="18"/>
      </w:rPr>
      <w:t xml:space="preserve"> </w:t>
    </w:r>
    <w:r w:rsidRPr="001C067C">
      <w:rPr>
        <w:rFonts w:ascii="Garamond" w:hAnsi="Garamond"/>
        <w:color w:val="7F7F7F" w:themeColor="text1" w:themeTint="80"/>
        <w:sz w:val="18"/>
        <w:szCs w:val="18"/>
      </w:rPr>
      <w:t xml:space="preserve">|| </w:t>
    </w:r>
    <w:r w:rsidRPr="001C067C">
      <w:rPr>
        <w:rFonts w:ascii="Garamond" w:hAnsi="Garamond"/>
        <w:color w:val="0070C0"/>
        <w:sz w:val="18"/>
        <w:szCs w:val="18"/>
      </w:rPr>
      <w:t>UFERSA Campus Angicos-RN</w:t>
    </w:r>
  </w:p>
  <w:p w14:paraId="6DB92D64" w14:textId="5BC48E4F" w:rsidR="001C067C" w:rsidRDefault="001C067C">
    <w:pPr>
      <w:pStyle w:val="Rodap"/>
    </w:pPr>
  </w:p>
  <w:p w14:paraId="0D624DE1" w14:textId="77777777" w:rsidR="001C067C" w:rsidRDefault="001C06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0ADC5" w14:textId="77777777" w:rsidR="006136F3" w:rsidRDefault="006136F3" w:rsidP="001C067C">
      <w:pPr>
        <w:spacing w:after="0" w:line="240" w:lineRule="auto"/>
      </w:pPr>
      <w:r>
        <w:separator/>
      </w:r>
    </w:p>
  </w:footnote>
  <w:footnote w:type="continuationSeparator" w:id="0">
    <w:p w14:paraId="18686D9C" w14:textId="77777777" w:rsidR="006136F3" w:rsidRDefault="006136F3" w:rsidP="001C0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1960914"/>
      <w:docPartObj>
        <w:docPartGallery w:val="Page Numbers (Top of Page)"/>
        <w:docPartUnique/>
      </w:docPartObj>
    </w:sdtPr>
    <w:sdtEndPr>
      <w:rPr>
        <w:rFonts w:ascii="Garamond" w:hAnsi="Garamond" w:cs="Times New Roman"/>
        <w:sz w:val="18"/>
        <w:szCs w:val="18"/>
      </w:rPr>
    </w:sdtEndPr>
    <w:sdtContent>
      <w:p w14:paraId="72676374" w14:textId="37369747" w:rsidR="001C067C" w:rsidRPr="001C067C" w:rsidRDefault="001C067C">
        <w:pPr>
          <w:pStyle w:val="Cabealho"/>
          <w:jc w:val="right"/>
          <w:rPr>
            <w:rFonts w:ascii="Garamond" w:hAnsi="Garamond" w:cs="Times New Roman"/>
            <w:sz w:val="18"/>
            <w:szCs w:val="18"/>
          </w:rPr>
        </w:pPr>
        <w:r w:rsidRPr="001C067C">
          <w:rPr>
            <w:rFonts w:ascii="Garamond" w:hAnsi="Garamond" w:cs="Times New Roman"/>
            <w:sz w:val="18"/>
            <w:szCs w:val="18"/>
          </w:rPr>
          <w:fldChar w:fldCharType="begin"/>
        </w:r>
        <w:r w:rsidRPr="001C067C">
          <w:rPr>
            <w:rFonts w:ascii="Garamond" w:hAnsi="Garamond" w:cs="Times New Roman"/>
            <w:sz w:val="18"/>
            <w:szCs w:val="18"/>
          </w:rPr>
          <w:instrText>PAGE   \* MERGEFORMAT</w:instrText>
        </w:r>
        <w:r w:rsidRPr="001C067C">
          <w:rPr>
            <w:rFonts w:ascii="Garamond" w:hAnsi="Garamond" w:cs="Times New Roman"/>
            <w:sz w:val="18"/>
            <w:szCs w:val="18"/>
          </w:rPr>
          <w:fldChar w:fldCharType="separate"/>
        </w:r>
        <w:r w:rsidRPr="001C067C">
          <w:rPr>
            <w:rFonts w:ascii="Garamond" w:hAnsi="Garamond" w:cs="Times New Roman"/>
            <w:sz w:val="18"/>
            <w:szCs w:val="18"/>
          </w:rPr>
          <w:t>2</w:t>
        </w:r>
        <w:r w:rsidRPr="001C067C">
          <w:rPr>
            <w:rFonts w:ascii="Garamond" w:hAnsi="Garamond" w:cs="Times New Roman"/>
            <w:sz w:val="18"/>
            <w:szCs w:val="18"/>
          </w:rPr>
          <w:fldChar w:fldCharType="end"/>
        </w:r>
      </w:p>
    </w:sdtContent>
  </w:sdt>
  <w:p w14:paraId="1497BE5D" w14:textId="77777777" w:rsidR="001C067C" w:rsidRDefault="001C06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E6A57"/>
    <w:multiLevelType w:val="hybridMultilevel"/>
    <w:tmpl w:val="BA7C9A92"/>
    <w:lvl w:ilvl="0" w:tplc="4FEA2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240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B28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1EB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2D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EE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0C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43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665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2ED66EB"/>
    <w:multiLevelType w:val="hybridMultilevel"/>
    <w:tmpl w:val="48EAA7FE"/>
    <w:lvl w:ilvl="0" w:tplc="54EEB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388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D0A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A0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2E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2F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E5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028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047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3FA3F6A"/>
    <w:multiLevelType w:val="hybridMultilevel"/>
    <w:tmpl w:val="FF9A7802"/>
    <w:lvl w:ilvl="0" w:tplc="48F43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4CC7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96E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F4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A9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E8E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8AC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E06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42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A1472C9"/>
    <w:multiLevelType w:val="hybridMultilevel"/>
    <w:tmpl w:val="B5EA44D4"/>
    <w:lvl w:ilvl="0" w:tplc="083E7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DCC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067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26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04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E27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C4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2E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A8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B800665"/>
    <w:multiLevelType w:val="hybridMultilevel"/>
    <w:tmpl w:val="DD665410"/>
    <w:lvl w:ilvl="0" w:tplc="50CAC61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07AFA7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D20CA6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60E5F5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4ACAA7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CC63DB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C827F4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CD2AAF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06061B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771508"/>
    <w:multiLevelType w:val="hybridMultilevel"/>
    <w:tmpl w:val="ED6AC2C0"/>
    <w:lvl w:ilvl="0" w:tplc="E6DAE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9E680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E6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C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E4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3E6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6AE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63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C5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65868899">
    <w:abstractNumId w:val="2"/>
  </w:num>
  <w:num w:numId="2" w16cid:durableId="1506045107">
    <w:abstractNumId w:val="3"/>
  </w:num>
  <w:num w:numId="3" w16cid:durableId="837960215">
    <w:abstractNumId w:val="5"/>
  </w:num>
  <w:num w:numId="4" w16cid:durableId="240220798">
    <w:abstractNumId w:val="0"/>
  </w:num>
  <w:num w:numId="5" w16cid:durableId="1876506391">
    <w:abstractNumId w:val="1"/>
  </w:num>
  <w:num w:numId="6" w16cid:durableId="332221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FC8"/>
    <w:rsid w:val="00032204"/>
    <w:rsid w:val="000813C4"/>
    <w:rsid w:val="00171BB6"/>
    <w:rsid w:val="001C067C"/>
    <w:rsid w:val="001F5FC8"/>
    <w:rsid w:val="004E02EC"/>
    <w:rsid w:val="006136F3"/>
    <w:rsid w:val="008A46FD"/>
    <w:rsid w:val="00B817B3"/>
    <w:rsid w:val="00B9566C"/>
    <w:rsid w:val="00D64189"/>
    <w:rsid w:val="00E8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FEA63"/>
  <w15:chartTrackingRefBased/>
  <w15:docId w15:val="{994FCFDE-D89E-479B-B29C-6135BED8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F5F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F5F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5F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5F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5F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5F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5F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5F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5F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F5F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F5F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5F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5FC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5FC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5F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5FC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5F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5FC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F5F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F5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5F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5F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F5F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F5FC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F5FC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F5FC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5F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5FC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F5FC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C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067C"/>
  </w:style>
  <w:style w:type="paragraph" w:styleId="Rodap">
    <w:name w:val="footer"/>
    <w:basedOn w:val="Normal"/>
    <w:link w:val="RodapChar"/>
    <w:uiPriority w:val="99"/>
    <w:unhideWhenUsed/>
    <w:rsid w:val="001C0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0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3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58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2667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23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3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97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94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22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06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4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27849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40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61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61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475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Carvalho da Silva</dc:creator>
  <cp:keywords/>
  <dc:description/>
  <cp:lastModifiedBy>Bruna Carvalho da Silva</cp:lastModifiedBy>
  <cp:revision>3</cp:revision>
  <dcterms:created xsi:type="dcterms:W3CDTF">2025-04-09T12:58:00Z</dcterms:created>
  <dcterms:modified xsi:type="dcterms:W3CDTF">2025-04-09T13:38:00Z</dcterms:modified>
</cp:coreProperties>
</file>